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00" w:rsidRPr="005C3B00" w:rsidRDefault="005C3B00">
      <w:pPr>
        <w:pStyle w:val="ConsPlusNormal"/>
        <w:jc w:val="right"/>
        <w:rPr>
          <w:color w:val="000000" w:themeColor="text1"/>
        </w:rPr>
      </w:pPr>
      <w:r w:rsidRPr="005C3B00">
        <w:rPr>
          <w:color w:val="000000" w:themeColor="text1"/>
        </w:rPr>
        <w:t>Принято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Постановлением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Волжской городской Думы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Волгоградской области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от 30 ноября 2007 г. N 46/7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ГОРОДСКОЕ ПОЛОЖЕНИЕ</w:t>
      </w: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О ВВЕДЕНИИ НА ТЕРРИТОРИИ ГОРОДСКОГО ОКРУГА - ГОРОД ВОЛЖСКИЙ</w:t>
      </w: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ВОЛГОГРАДСКОЙ ОБЛАСТИ СИСТЕМЫ НАЛОГООБЛОЖЕНИЯ В ВИДЕ ЕДИНОГО</w:t>
      </w: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НАЛОГА НА ВМЕНЕННЫЙ ДОХОД ДЛЯ ОТДЕЛЬНЫХ ВИДОВ ДЕЯТЕЛЬНОСТИ</w:t>
      </w: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от 30 ноября 2007 г. N 272-ВГД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Список изменяющих документов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(в ред. Городских положений Волжской городской Думы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Волгоградской обл. от 28.11.2008 </w:t>
      </w:r>
      <w:hyperlink r:id="rId4" w:history="1">
        <w:r w:rsidRPr="005C3B00">
          <w:rPr>
            <w:rFonts w:ascii="Arial" w:hAnsi="Arial" w:cs="Arial"/>
            <w:color w:val="000000" w:themeColor="text1"/>
            <w:szCs w:val="22"/>
          </w:rPr>
          <w:t>N 377-ВГД</w:t>
        </w:r>
      </w:hyperlink>
      <w:r w:rsidRPr="005C3B00">
        <w:rPr>
          <w:rFonts w:ascii="Arial" w:hAnsi="Arial" w:cs="Arial"/>
          <w:color w:val="000000" w:themeColor="text1"/>
          <w:szCs w:val="22"/>
        </w:rPr>
        <w:t>,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от 23.07.2009 </w:t>
      </w:r>
      <w:hyperlink r:id="rId5" w:history="1">
        <w:r w:rsidRPr="005C3B00">
          <w:rPr>
            <w:rFonts w:ascii="Arial" w:hAnsi="Arial" w:cs="Arial"/>
            <w:color w:val="000000" w:themeColor="text1"/>
            <w:szCs w:val="22"/>
          </w:rPr>
          <w:t>N 465-ВГД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, от 09.10.2012 </w:t>
      </w:r>
      <w:hyperlink r:id="rId6" w:history="1">
        <w:r w:rsidRPr="005C3B00">
          <w:rPr>
            <w:rFonts w:ascii="Arial" w:hAnsi="Arial" w:cs="Arial"/>
            <w:color w:val="000000" w:themeColor="text1"/>
            <w:szCs w:val="22"/>
          </w:rPr>
          <w:t>N 315-ВГД</w:t>
        </w:r>
      </w:hyperlink>
      <w:r w:rsidRPr="005C3B00">
        <w:rPr>
          <w:rFonts w:ascii="Arial" w:hAnsi="Arial" w:cs="Arial"/>
          <w:color w:val="000000" w:themeColor="text1"/>
          <w:szCs w:val="22"/>
        </w:rPr>
        <w:t>,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решений Волжской городской Думы Волгоградской обл.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от 25.11.2016 </w:t>
      </w:r>
      <w:hyperlink r:id="rId7" w:history="1">
        <w:r w:rsidRPr="005C3B00">
          <w:rPr>
            <w:rFonts w:ascii="Arial" w:hAnsi="Arial" w:cs="Arial"/>
            <w:color w:val="000000" w:themeColor="text1"/>
            <w:szCs w:val="22"/>
          </w:rPr>
          <w:t>N 288-ВГД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, от 30.06.2017 </w:t>
      </w:r>
      <w:hyperlink r:id="rId8" w:history="1">
        <w:r w:rsidRPr="005C3B00">
          <w:rPr>
            <w:rFonts w:ascii="Arial" w:hAnsi="Arial" w:cs="Arial"/>
            <w:color w:val="000000" w:themeColor="text1"/>
            <w:szCs w:val="22"/>
          </w:rPr>
          <w:t>N 329-ВГД</w:t>
        </w:r>
      </w:hyperlink>
      <w:r w:rsidRPr="005C3B00">
        <w:rPr>
          <w:rFonts w:ascii="Arial" w:hAnsi="Arial" w:cs="Arial"/>
          <w:color w:val="000000" w:themeColor="text1"/>
          <w:szCs w:val="22"/>
        </w:rPr>
        <w:t>)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Система налогообложения в виде единого налога на вмененный доход для отдельных видов деятельности (далее - единый налог) вводится на территории городского округа - город Волжский Волгоградской области и применяется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Статья 1. Виды предпринимательской деятельности, в отношении которых применяется система налогообложения в виде единого налога на вмененный доход для отдельных видов деятельности</w:t>
      </w: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(в ред. Городского </w:t>
      </w:r>
      <w:hyperlink r:id="rId9" w:history="1">
        <w:r w:rsidRPr="005C3B00">
          <w:rPr>
            <w:rFonts w:ascii="Arial" w:hAnsi="Arial" w:cs="Arial"/>
            <w:color w:val="000000" w:themeColor="text1"/>
            <w:szCs w:val="22"/>
          </w:rPr>
          <w:t>положения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Волжской городской Думы Волгоградской обл. от 09.10.2012 N 315-ВГД)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Единый налог применяется в отношении следующих видов предпринимательской деятельности: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1) оказание бытовых услуг;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10" w:history="1">
        <w:r w:rsidRPr="005C3B00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Волжской городской Думы Волгоградской обл. от 25.11.2016 N 288-ВГД)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2) оказание ветеринарных услуг;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3) оказание услуг по ремонту, техническому обслуживанию и мойке автомототранспортных средств;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8) оказание услуг общественного питания, осуществляемых через объекты организации </w:t>
      </w:r>
      <w:r w:rsidRPr="005C3B00">
        <w:rPr>
          <w:rFonts w:ascii="Arial" w:hAnsi="Arial" w:cs="Arial"/>
          <w:color w:val="000000" w:themeColor="text1"/>
          <w:szCs w:val="22"/>
        </w:rPr>
        <w:lastRenderedPageBreak/>
        <w:t>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10) распространение наружной рекламы с использованием рекламных конструкций;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11) размещение рекламы с использованием внешних и внутренних поверхностей транспортных средств;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Статья 2. Порядок расчета корректирующего коэффициента К2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1. Корректирующий коэффициент базовой доходности К2, учитывающий совокупность особенностей ведения предпринимательской деятельности, рассчитывается по следующей формуле: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К2 = 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 xml:space="preserve"> x Км x Кио,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где: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 xml:space="preserve"> - коэффициент вида деятельности, учитывающий ассортимент товаров и виды работ (услуг), сезонность;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Км - коэффициент, учитывающий особенности места ведения предпринимательской деятельности;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Кио - коэффициент, учитывающий иные особенности ведения предпринимательской деятельности.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2. Значения коэффициента, учитывающего ассортимент товаров и виды работ (услуг), режим работы, сезонность (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>), устанавливаются в следующих размерах: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Значения коэффициента, учитывающего ассортимент товаров</w:t>
      </w:r>
    </w:p>
    <w:p w:rsidR="005C3B00" w:rsidRPr="005C3B00" w:rsidRDefault="005C3B00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и виды работ (услуг), режим работы, сезонность, 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576"/>
        <w:gridCol w:w="1474"/>
      </w:tblGrid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N</w:t>
            </w:r>
          </w:p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п/п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Ассортимент товаров и виды работ (услуг)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Значение </w:t>
            </w:r>
            <w:proofErr w:type="spell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Квд</w:t>
            </w:r>
            <w:proofErr w:type="spellEnd"/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2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бытовых услуг, в том числе: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и пошив обуви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и пошив швейных и текстильных изделий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0,29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Ремонт и пошив меховых и кожаных изделий, головных </w:t>
            </w: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уборов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0,36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1.4.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Ремонт, пошив и вязание трикотажных изделий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0,15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1.5.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Ремонт электронной бытовой техники, машин, оборудования, бытовых приборов и </w:t>
            </w:r>
            <w:proofErr w:type="gram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прочих бытовых изделий</w:t>
            </w:r>
            <w:proofErr w:type="gramEnd"/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 и предметов личного пользования, за исключением ремонта персональных машин ЭВМ, электротехнических игр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0,48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1.6.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персональных машин ЭВМ, электротехнических игр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0,81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1.7.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часов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0,21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1.8.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металлоизделий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1.9.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ювелирных изделий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1.10.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Ремонт мебели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0,48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Стирка и химическая чистка текстильных и меховых изделий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0,21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Строительство и ремонт жилых и нежилых зданий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Деятельность в области фотографии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0,31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парикмахерских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0,48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1.15.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по прокату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1.15.1.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Аренда и лизинг транспортных средств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1.15.2.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Другие услуги по прокату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0,24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1.16.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Организация похорон и предоставление связанных с ними услуг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0,48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1.17.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Нарезка стекла и зеркал, художественная обработка стекла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0,36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1.18.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бань и душевых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5C3B00" w:rsidRPr="005C3B00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1.19.</w:t>
            </w:r>
          </w:p>
        </w:tc>
        <w:tc>
          <w:tcPr>
            <w:tcW w:w="6576" w:type="dxa"/>
            <w:tcBorders>
              <w:bottom w:val="nil"/>
            </w:tcBorders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Другие виды бытовых услуг</w:t>
            </w:r>
          </w:p>
        </w:tc>
        <w:tc>
          <w:tcPr>
            <w:tcW w:w="1474" w:type="dxa"/>
            <w:tcBorders>
              <w:bottom w:val="nil"/>
            </w:tcBorders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0,62</w:t>
            </w:r>
          </w:p>
        </w:tc>
      </w:tr>
      <w:tr w:rsidR="005C3B00" w:rsidRPr="005C3B00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5C3B00" w:rsidRPr="005C3B00" w:rsidRDefault="005C3B0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(п. 1 в ред. </w:t>
            </w:r>
            <w:hyperlink r:id="rId11" w:history="1">
              <w:r w:rsidRPr="005C3B00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 Волжской городской Думы Волгоградской обл. от 30.06.2017 N 329-ВГД)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ветеринарных услуг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0,31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0,85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пассажиров и грузов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5.1.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по перевозке пассажиров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0,44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5.2.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5.3.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Услуги по перевозке грузов с использованием транспортных </w:t>
            </w: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средств грузоподъемностью свыше 1 т до 2 т включительно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0,60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5.4.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5.5.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6.1.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имеющие торговые залы площадью до 100 кв. м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6.1.1.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6.1.2.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Торговля смешанным ассортиментом товаров, включая алкогольную продукцию и табачные изделия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0,95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6.1.3.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л.с</w:t>
            </w:r>
            <w:proofErr w:type="spellEnd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.), оружием и патронами к нему, ювелирными изделиями, одеждой из кожи и меха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6.1.4.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л.с</w:t>
            </w:r>
            <w:proofErr w:type="spellEnd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.), оружием и патронами к нему, ювелирными изделиями, одеждой из кожи и меха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0,95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6.2.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имеющие торговые залы площадью свыше 100 кв. м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6.2.1.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6.2.2.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Торговля смешанным ассортиментом товаров, включая алкогольную продукцию и табачные изделия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6.2.3.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л.с</w:t>
            </w:r>
            <w:proofErr w:type="spellEnd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.), оружием и патронами к нему, ювелирными изделиями, одеждой из кожи и меха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6.2.4.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л.с</w:t>
            </w:r>
            <w:proofErr w:type="spellEnd"/>
            <w:r w:rsidRPr="005C3B00">
              <w:rPr>
                <w:rFonts w:ascii="Arial" w:hAnsi="Arial" w:cs="Arial"/>
                <w:color w:val="000000" w:themeColor="text1"/>
                <w:szCs w:val="22"/>
              </w:rPr>
              <w:t>.), оружием и патронами к нему, ювелирными изделиями, одеждой из кожи и меха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7.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7.1.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7.2.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 xml:space="preserve">Розничная торговля, осуществляемая в объектах стационарной торговой </w:t>
            </w: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сети, а также в объектах нестационарной торговой сети, площадь торгового места в которых превышает 5 квадратных метров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7.2.1.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в объектах 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7.2.2.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в объектах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8.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Развозная и разносная розничная торговля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9.1.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9.1.1.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питания ресторана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0,95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9.1.2.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питания кафе, бара, закусочной, столовой (за исключением столовой, обслуживающей исключительно работников промышленных предприятий и заключившей договор с обслуживаемыми предприятиями по оказанию услуг общественного питания), предприятий других типов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9.1.3.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Услуги питания столовой, обслуживающей исключительно работников промышленных предприятий и заключившей договор с обслуживаемыми предприятиями по оказанию услуг общественного питания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9.2.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10.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10.1.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0,06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10.2.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0,06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10.3.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временному размещению и проживанию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13.</w:t>
            </w:r>
          </w:p>
        </w:tc>
        <w:tc>
          <w:tcPr>
            <w:tcW w:w="8050" w:type="dxa"/>
            <w:gridSpan w:val="2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13.1.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0,28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13.2.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если площадь каждого из них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0,33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13.3.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0,35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14.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1,0</w:t>
            </w:r>
          </w:p>
        </w:tc>
      </w:tr>
      <w:tr w:rsidR="005C3B00" w:rsidRPr="005C3B00">
        <w:tc>
          <w:tcPr>
            <w:tcW w:w="1020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15.</w:t>
            </w:r>
          </w:p>
        </w:tc>
        <w:tc>
          <w:tcPr>
            <w:tcW w:w="6576" w:type="dxa"/>
          </w:tcPr>
          <w:p w:rsidR="005C3B00" w:rsidRPr="005C3B00" w:rsidRDefault="005C3B00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474" w:type="dxa"/>
          </w:tcPr>
          <w:p w:rsidR="005C3B00" w:rsidRPr="005C3B00" w:rsidRDefault="005C3B0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5C3B00">
              <w:rPr>
                <w:rFonts w:ascii="Arial" w:hAnsi="Arial" w:cs="Arial"/>
                <w:color w:val="000000" w:themeColor="text1"/>
                <w:szCs w:val="22"/>
              </w:rPr>
              <w:t>0,4</w:t>
            </w:r>
          </w:p>
        </w:tc>
      </w:tr>
    </w:tbl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(п. 2 в ред. Городского </w:t>
      </w:r>
      <w:hyperlink r:id="rId12" w:history="1">
        <w:r w:rsidRPr="005C3B00">
          <w:rPr>
            <w:rFonts w:ascii="Arial" w:hAnsi="Arial" w:cs="Arial"/>
            <w:color w:val="000000" w:themeColor="text1"/>
            <w:szCs w:val="22"/>
          </w:rPr>
          <w:t>положения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Волжской городской Думы Волгоградской обл. от 09.10.2012 N 315-ВГД)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3. 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 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>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В случае осуществления торговли смешанным ассортиментом товаров применяется наибольшее значение корректирующего коэффициента 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>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При круглосуточном режиме работы значение корректирующего коэффициента </w:t>
      </w:r>
      <w:proofErr w:type="spellStart"/>
      <w:r w:rsidRPr="005C3B00">
        <w:rPr>
          <w:rFonts w:ascii="Arial" w:hAnsi="Arial" w:cs="Arial"/>
          <w:color w:val="000000" w:themeColor="text1"/>
          <w:szCs w:val="22"/>
        </w:rPr>
        <w:t>Квд</w:t>
      </w:r>
      <w:proofErr w:type="spellEnd"/>
      <w:r w:rsidRPr="005C3B00">
        <w:rPr>
          <w:rFonts w:ascii="Arial" w:hAnsi="Arial" w:cs="Arial"/>
          <w:color w:val="000000" w:themeColor="text1"/>
          <w:szCs w:val="22"/>
        </w:rPr>
        <w:t xml:space="preserve"> равно 1,0.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4.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а) Км = 1 - для организаций и индивидуальных предпринимателей, осуществляющих свою деятельность на территории городского округа - город Волжский (за исключением территории поселка Краснооктябрьский, поселка Уральский);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б) Км = 0,8 - для организаций и индивидуальных предпринимателей, осуществляющих свою деятельность на территории поселка Краснооктябрьский, поселка Уральский.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5.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0" w:name="P262"/>
      <w:bookmarkEnd w:id="0"/>
      <w:r w:rsidRPr="005C3B00">
        <w:rPr>
          <w:rFonts w:ascii="Arial" w:hAnsi="Arial" w:cs="Arial"/>
          <w:color w:val="000000" w:themeColor="text1"/>
          <w:szCs w:val="22"/>
        </w:rPr>
        <w:t>а) Кио = 0,5, применяется индивидуальными предпринимателями, не использующими труд наемных работников: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lastRenderedPageBreak/>
        <w:t>- инвалидами I группы;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инвалидами II группы;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юридическими лицами,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50% от числа работающих, а их доля в фонде оплаты труда составляет не менее 25%;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1" w:name="P266"/>
      <w:bookmarkEnd w:id="1"/>
      <w:r w:rsidRPr="005C3B00">
        <w:rPr>
          <w:rFonts w:ascii="Arial" w:hAnsi="Arial" w:cs="Arial"/>
          <w:color w:val="000000" w:themeColor="text1"/>
          <w:szCs w:val="22"/>
        </w:rPr>
        <w:t>б) Кио = 0,75, применяется индивидуальными предпринимателями, не использующими труд наемных работников: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одним из родителей многодетной семьи;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членами семейных детских домов;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одинокими матерями, на содержании которых находится ребенок-инвалид;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- 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в) Кио = 1, применяется для всех остальных категорий налогоплательщиков.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6. Право на применение коэффициентов, указанных в </w:t>
      </w:r>
      <w:hyperlink w:anchor="P262" w:history="1">
        <w:r w:rsidRPr="005C3B00">
          <w:rPr>
            <w:rFonts w:ascii="Arial" w:hAnsi="Arial" w:cs="Arial"/>
            <w:color w:val="000000" w:themeColor="text1"/>
            <w:szCs w:val="22"/>
          </w:rPr>
          <w:t>подпунктах "а"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и </w:t>
      </w:r>
      <w:hyperlink w:anchor="P266" w:history="1">
        <w:r w:rsidRPr="005C3B00">
          <w:rPr>
            <w:rFonts w:ascii="Arial" w:hAnsi="Arial" w:cs="Arial"/>
            <w:color w:val="000000" w:themeColor="text1"/>
            <w:szCs w:val="22"/>
          </w:rPr>
          <w:t>"б" пункта 5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настоящей статьи,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Положением одновременно по нескольким основаниям, предусмотренным </w:t>
      </w:r>
      <w:hyperlink w:anchor="P262" w:history="1">
        <w:r w:rsidRPr="005C3B00">
          <w:rPr>
            <w:rFonts w:ascii="Arial" w:hAnsi="Arial" w:cs="Arial"/>
            <w:color w:val="000000" w:themeColor="text1"/>
            <w:szCs w:val="22"/>
          </w:rPr>
          <w:t>подпунктами "а"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и </w:t>
      </w:r>
      <w:hyperlink w:anchor="P266" w:history="1">
        <w:r w:rsidRPr="005C3B00">
          <w:rPr>
            <w:rFonts w:ascii="Arial" w:hAnsi="Arial" w:cs="Arial"/>
            <w:color w:val="000000" w:themeColor="text1"/>
            <w:szCs w:val="22"/>
          </w:rPr>
          <w:t>"б" пункта 5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настоящей статьи, применяется наименьший коэффициент.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Статья 3. Настоящее Городское положение вступает в силу с 1 января 2008 года, но не ранее чем по истечении одного месяца со дня официального опубликования.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>Статья 4. Считать утратившими силу с 01.01.2008: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- </w:t>
      </w:r>
      <w:hyperlink r:id="rId13" w:history="1">
        <w:r w:rsidRPr="005C3B00">
          <w:rPr>
            <w:rFonts w:ascii="Arial" w:hAnsi="Arial" w:cs="Arial"/>
            <w:color w:val="000000" w:themeColor="text1"/>
            <w:szCs w:val="22"/>
          </w:rPr>
          <w:t>постановление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Волжской городской Думы от 5 октября 2005 года N 147/15 "Об утверждении Городского положения о введении на территории городского округа - город Волжский системы налогообложения в виде единого налога на вмененный доход для отдельных видов деятельности";</w:t>
      </w:r>
    </w:p>
    <w:p w:rsidR="005C3B00" w:rsidRPr="005C3B00" w:rsidRDefault="005C3B0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5C3B00">
        <w:rPr>
          <w:rFonts w:ascii="Arial" w:hAnsi="Arial" w:cs="Arial"/>
          <w:color w:val="000000" w:themeColor="text1"/>
          <w:szCs w:val="22"/>
        </w:rPr>
        <w:t xml:space="preserve">- Городское </w:t>
      </w:r>
      <w:hyperlink r:id="rId14" w:history="1">
        <w:r w:rsidRPr="005C3B00">
          <w:rPr>
            <w:rFonts w:ascii="Arial" w:hAnsi="Arial" w:cs="Arial"/>
            <w:color w:val="000000" w:themeColor="text1"/>
            <w:szCs w:val="22"/>
          </w:rPr>
          <w:t>положение</w:t>
        </w:r>
      </w:hyperlink>
      <w:r w:rsidRPr="005C3B00">
        <w:rPr>
          <w:rFonts w:ascii="Arial" w:hAnsi="Arial" w:cs="Arial"/>
          <w:color w:val="000000" w:themeColor="text1"/>
          <w:szCs w:val="22"/>
        </w:rPr>
        <w:t xml:space="preserve"> о внесении изменений в Городское положение о введении на территории городского округа - город Волжский Волгоградской области системы налогообложения в виде единого налога на вмененный доход для отдельных видов деятельности от 06.05.2006 N 35-ВГД.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5C3B00" w:rsidRPr="005C3B00" w:rsidRDefault="005C3B00">
      <w:pPr>
        <w:pStyle w:val="ConsPlusNormal"/>
        <w:jc w:val="right"/>
        <w:rPr>
          <w:rFonts w:ascii="Arial" w:hAnsi="Arial" w:cs="Arial"/>
          <w:szCs w:val="22"/>
        </w:rPr>
      </w:pPr>
      <w:r w:rsidRPr="005C3B00">
        <w:rPr>
          <w:rFonts w:ascii="Arial" w:hAnsi="Arial" w:cs="Arial"/>
          <w:szCs w:val="22"/>
        </w:rPr>
        <w:t xml:space="preserve">Глава </w:t>
      </w:r>
      <w:proofErr w:type="spellStart"/>
      <w:r w:rsidRPr="005C3B00">
        <w:rPr>
          <w:rFonts w:ascii="Arial" w:hAnsi="Arial" w:cs="Arial"/>
          <w:szCs w:val="22"/>
        </w:rPr>
        <w:t>городскогоокруга</w:t>
      </w:r>
      <w:proofErr w:type="spellEnd"/>
      <w:r w:rsidRPr="005C3B00">
        <w:rPr>
          <w:rFonts w:ascii="Arial" w:hAnsi="Arial" w:cs="Arial"/>
          <w:szCs w:val="22"/>
        </w:rPr>
        <w:t xml:space="preserve"> - город Волжский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szCs w:val="22"/>
        </w:rPr>
      </w:pPr>
      <w:r w:rsidRPr="005C3B00">
        <w:rPr>
          <w:rFonts w:ascii="Arial" w:hAnsi="Arial" w:cs="Arial"/>
          <w:szCs w:val="22"/>
        </w:rPr>
        <w:t>Волгоградской области</w:t>
      </w:r>
    </w:p>
    <w:p w:rsidR="005C3B00" w:rsidRPr="005C3B00" w:rsidRDefault="005C3B00">
      <w:pPr>
        <w:pStyle w:val="ConsPlusNormal"/>
        <w:jc w:val="right"/>
        <w:rPr>
          <w:rFonts w:ascii="Arial" w:hAnsi="Arial" w:cs="Arial"/>
          <w:szCs w:val="22"/>
        </w:rPr>
      </w:pPr>
      <w:r w:rsidRPr="005C3B00">
        <w:rPr>
          <w:rFonts w:ascii="Arial" w:hAnsi="Arial" w:cs="Arial"/>
          <w:szCs w:val="22"/>
        </w:rPr>
        <w:t>И.Н.</w:t>
      </w:r>
      <w:r w:rsidRPr="005C3B00">
        <w:rPr>
          <w:rFonts w:ascii="Arial" w:hAnsi="Arial" w:cs="Arial"/>
          <w:szCs w:val="22"/>
          <w:lang w:val="en-US"/>
        </w:rPr>
        <w:t xml:space="preserve"> </w:t>
      </w:r>
      <w:r w:rsidRPr="005C3B00">
        <w:rPr>
          <w:rFonts w:ascii="Arial" w:hAnsi="Arial" w:cs="Arial"/>
          <w:szCs w:val="22"/>
        </w:rPr>
        <w:t>Воронин</w:t>
      </w:r>
    </w:p>
    <w:p w:rsidR="005C3B00" w:rsidRPr="005C3B00" w:rsidRDefault="005C3B00">
      <w:pPr>
        <w:pStyle w:val="ConsPlusNormal"/>
        <w:jc w:val="both"/>
        <w:rPr>
          <w:rFonts w:ascii="Arial" w:hAnsi="Arial" w:cs="Arial"/>
          <w:szCs w:val="22"/>
        </w:rPr>
      </w:pPr>
      <w:bookmarkStart w:id="2" w:name="_GoBack"/>
      <w:bookmarkEnd w:id="2"/>
    </w:p>
    <w:sectPr w:rsidR="005C3B00" w:rsidRPr="005C3B00" w:rsidSect="005C3B00">
      <w:pgSz w:w="11906" w:h="16838"/>
      <w:pgMar w:top="567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0"/>
    <w:rsid w:val="005C3B00"/>
    <w:rsid w:val="00D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6481EB-8481-47AB-89FA-3F4F3EF6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B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B8785C31A260A45B9B933A814926B78667D5BE36DCF050ECC47324963FE71EA23CCD23A5D451166393EF8ArEn2N" TargetMode="External"/><Relationship Id="rId13" Type="http://schemas.openxmlformats.org/officeDocument/2006/relationships/hyperlink" Target="consultantplus://offline/ref=39B8785C31A260A45B9B933A814926B78667D5BE36D1F654EBC92E2E9E66EB1CrAn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B8785C31A260A45B9B933A814926B78667D5BE36DDF056EDC27324963FE71EA23CCD23A5D451166393EF8ArEn2N" TargetMode="External"/><Relationship Id="rId12" Type="http://schemas.openxmlformats.org/officeDocument/2006/relationships/hyperlink" Target="consultantplus://offline/ref=39B8785C31A260A45B9B933A814926B78667D5BE30DEF452EEC92E2E9E66EB1CA5339234A29D5D176393EDr8n8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B8785C31A260A45B9B933A814926B78667D5BE30DEF452EEC92E2E9E66EB1CA5339234A29D5D176393EFr8nEN" TargetMode="External"/><Relationship Id="rId11" Type="http://schemas.openxmlformats.org/officeDocument/2006/relationships/hyperlink" Target="consultantplus://offline/ref=39B8785C31A260A45B9B933A814926B78667D5BE36DCF050ECC47324963FE71EA23CCD23A5D451166393EF8DrEn2N" TargetMode="External"/><Relationship Id="rId5" Type="http://schemas.openxmlformats.org/officeDocument/2006/relationships/hyperlink" Target="consultantplus://offline/ref=39B8785C31A260A45B9B933A814926B78667D5BE34D0FC51EEC92E2E9E66EB1CA5339234A29D5D176393EFr8n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B8785C31A260A45B9B933A814926B78667D5BE36DDF056EDC27324963FE71EA23CCD23A5D451166393EF8ArEn1N" TargetMode="External"/><Relationship Id="rId4" Type="http://schemas.openxmlformats.org/officeDocument/2006/relationships/hyperlink" Target="consultantplus://offline/ref=39B8785C31A260A45B9B933A814926B78667D5BE34DDF552E8C92E2E9E66EB1CA5339234A29D5D176393EFr8nEN" TargetMode="External"/><Relationship Id="rId9" Type="http://schemas.openxmlformats.org/officeDocument/2006/relationships/hyperlink" Target="consultantplus://offline/ref=39B8785C31A260A45B9B933A814926B78667D5BE30DEF452EEC92E2E9E66EB1CA5339234A29D5D176393EFr8nFN" TargetMode="External"/><Relationship Id="rId14" Type="http://schemas.openxmlformats.org/officeDocument/2006/relationships/hyperlink" Target="consultantplus://offline/ref=39B8785C31A260A45B9B933A814926B78667D5BE36D1F55FE5C92E2E9E66EB1CrA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2017-08-23T13:39:00Z</dcterms:created>
  <dcterms:modified xsi:type="dcterms:W3CDTF">2017-08-23T13:42:00Z</dcterms:modified>
</cp:coreProperties>
</file>